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B9A" w:rsidRPr="00BD5B9A" w:rsidRDefault="00BD5B9A" w:rsidP="00BD5B9A">
      <w:pPr>
        <w:ind w:left="-60"/>
        <w:jc w:val="center"/>
        <w:rPr>
          <w:b/>
          <w:sz w:val="24"/>
          <w:szCs w:val="24"/>
        </w:rPr>
      </w:pPr>
      <w:r w:rsidRPr="00BD5B9A">
        <w:rPr>
          <w:b/>
          <w:sz w:val="24"/>
          <w:szCs w:val="24"/>
        </w:rPr>
        <w:t xml:space="preserve">Сводка отзывов </w:t>
      </w:r>
    </w:p>
    <w:p w:rsidR="00BD5B9A" w:rsidRPr="00BD5B9A" w:rsidRDefault="00BD5B9A" w:rsidP="00BD5B9A">
      <w:pPr>
        <w:ind w:left="-60"/>
        <w:jc w:val="center"/>
        <w:rPr>
          <w:b/>
          <w:sz w:val="24"/>
          <w:szCs w:val="24"/>
        </w:rPr>
      </w:pPr>
      <w:r w:rsidRPr="00BD5B9A">
        <w:rPr>
          <w:b/>
          <w:sz w:val="24"/>
          <w:szCs w:val="24"/>
        </w:rPr>
        <w:t>на первую редакцию проекта межгосударственного стандарта</w:t>
      </w:r>
    </w:p>
    <w:p w:rsidR="00BD5B9A" w:rsidRPr="00BD5B9A" w:rsidRDefault="00BD5B9A" w:rsidP="00BD5B9A">
      <w:pPr>
        <w:ind w:left="-60"/>
        <w:jc w:val="center"/>
        <w:rPr>
          <w:b/>
          <w:sz w:val="24"/>
          <w:szCs w:val="24"/>
        </w:rPr>
      </w:pPr>
      <w:r w:rsidRPr="00BD5B9A">
        <w:rPr>
          <w:b/>
          <w:sz w:val="24"/>
          <w:szCs w:val="24"/>
        </w:rPr>
        <w:t xml:space="preserve">ГОСТ </w:t>
      </w:r>
      <w:r w:rsidR="00DD79EB" w:rsidRPr="00DD79EB">
        <w:rPr>
          <w:b/>
          <w:sz w:val="24"/>
          <w:szCs w:val="24"/>
        </w:rPr>
        <w:t>«Масло сливочное. Определение содержания соли. Потенциометрический метод» (</w:t>
      </w:r>
      <w:r w:rsidR="00DD79EB">
        <w:rPr>
          <w:b/>
          <w:sz w:val="24"/>
          <w:szCs w:val="24"/>
          <w:lang w:val="kk-KZ"/>
        </w:rPr>
        <w:t xml:space="preserve">на основе </w:t>
      </w:r>
      <w:r w:rsidR="00DD79EB" w:rsidRPr="00DD79EB">
        <w:rPr>
          <w:b/>
          <w:sz w:val="24"/>
          <w:szCs w:val="24"/>
        </w:rPr>
        <w:t>ISO 15648:2004)</w:t>
      </w:r>
    </w:p>
    <w:p w:rsidR="00BD5B9A" w:rsidRPr="00BD5B9A" w:rsidRDefault="00BD5B9A" w:rsidP="00BD5B9A">
      <w:pPr>
        <w:jc w:val="center"/>
        <w:rPr>
          <w:b/>
          <w:sz w:val="24"/>
          <w:szCs w:val="24"/>
        </w:rPr>
      </w:pPr>
    </w:p>
    <w:tbl>
      <w:tblPr>
        <w:tblW w:w="501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32"/>
        <w:gridCol w:w="2287"/>
        <w:gridCol w:w="5286"/>
        <w:gridCol w:w="4712"/>
      </w:tblGrid>
      <w:tr w:rsidR="00BD5B9A" w:rsidRPr="00BD5B9A" w:rsidTr="00BD5B9A">
        <w:trPr>
          <w:cantSplit/>
          <w:trHeight w:val="1478"/>
        </w:trPr>
        <w:tc>
          <w:tcPr>
            <w:tcW w:w="826" w:type="pct"/>
            <w:tcBorders>
              <w:bottom w:val="single" w:sz="4" w:space="0" w:color="auto"/>
            </w:tcBorders>
            <w:vAlign w:val="center"/>
          </w:tcPr>
          <w:p w:rsidR="00BD5B9A" w:rsidRPr="00BD5B9A" w:rsidRDefault="00BD5B9A" w:rsidP="00BD5B9A">
            <w:pPr>
              <w:jc w:val="center"/>
              <w:rPr>
                <w:bCs/>
                <w:sz w:val="24"/>
                <w:szCs w:val="24"/>
              </w:rPr>
            </w:pPr>
            <w:r w:rsidRPr="00BD5B9A">
              <w:rPr>
                <w:bCs/>
                <w:sz w:val="24"/>
                <w:szCs w:val="24"/>
              </w:rPr>
              <w:t>Структурный элемент стандарта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center"/>
          </w:tcPr>
          <w:p w:rsidR="00BD5B9A" w:rsidRPr="00BD5B9A" w:rsidRDefault="00BD5B9A" w:rsidP="00BD5B9A">
            <w:pPr>
              <w:jc w:val="center"/>
              <w:rPr>
                <w:color w:val="000000"/>
                <w:sz w:val="24"/>
                <w:szCs w:val="24"/>
              </w:rPr>
            </w:pPr>
            <w:r w:rsidRPr="00BD5B9A">
              <w:rPr>
                <w:color w:val="000000"/>
                <w:sz w:val="24"/>
                <w:szCs w:val="24"/>
              </w:rPr>
              <w:t>Сокращенное наименование национального органа</w:t>
            </w:r>
          </w:p>
          <w:p w:rsidR="00BD5B9A" w:rsidRPr="00BD5B9A" w:rsidRDefault="00BD5B9A" w:rsidP="00BD5B9A">
            <w:pPr>
              <w:jc w:val="center"/>
              <w:rPr>
                <w:bCs/>
                <w:sz w:val="24"/>
                <w:szCs w:val="24"/>
              </w:rPr>
            </w:pPr>
            <w:r w:rsidRPr="00BD5B9A">
              <w:rPr>
                <w:color w:val="000000"/>
                <w:sz w:val="24"/>
                <w:szCs w:val="24"/>
              </w:rPr>
              <w:t>(номер письма и дата)</w:t>
            </w:r>
          </w:p>
        </w:tc>
        <w:tc>
          <w:tcPr>
            <w:tcW w:w="1796" w:type="pct"/>
            <w:vAlign w:val="center"/>
          </w:tcPr>
          <w:p w:rsidR="00BD5B9A" w:rsidRPr="00BD5B9A" w:rsidRDefault="00BD5B9A" w:rsidP="00BD5B9A">
            <w:pPr>
              <w:jc w:val="center"/>
              <w:rPr>
                <w:bCs/>
                <w:sz w:val="24"/>
                <w:szCs w:val="24"/>
              </w:rPr>
            </w:pPr>
            <w:r w:rsidRPr="00BD5B9A">
              <w:rPr>
                <w:bCs/>
                <w:sz w:val="24"/>
                <w:szCs w:val="24"/>
              </w:rPr>
              <w:t>Предложение и замечание</w:t>
            </w:r>
          </w:p>
        </w:tc>
        <w:tc>
          <w:tcPr>
            <w:tcW w:w="1601" w:type="pct"/>
            <w:vAlign w:val="center"/>
          </w:tcPr>
          <w:p w:rsidR="00BD5B9A" w:rsidRPr="00BD5B9A" w:rsidRDefault="00BD5B9A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 w:rsidRPr="00BD5B9A">
              <w:rPr>
                <w:bCs/>
                <w:spacing w:val="-4"/>
                <w:sz w:val="24"/>
                <w:szCs w:val="24"/>
              </w:rPr>
              <w:t>Заключение</w:t>
            </w:r>
          </w:p>
          <w:p w:rsidR="00BD5B9A" w:rsidRPr="00BD5B9A" w:rsidRDefault="00BD5B9A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 w:rsidRPr="00BD5B9A">
              <w:rPr>
                <w:bCs/>
                <w:spacing w:val="-4"/>
                <w:sz w:val="24"/>
                <w:szCs w:val="24"/>
              </w:rPr>
              <w:t>разработчика</w:t>
            </w:r>
          </w:p>
        </w:tc>
      </w:tr>
      <w:tr w:rsidR="00BD5B9A" w:rsidRPr="00BD5B9A" w:rsidTr="00BD5B9A">
        <w:trPr>
          <w:cantSplit/>
          <w:trHeight w:val="362"/>
        </w:trPr>
        <w:tc>
          <w:tcPr>
            <w:tcW w:w="826" w:type="pct"/>
            <w:vAlign w:val="center"/>
          </w:tcPr>
          <w:p w:rsidR="00BD5B9A" w:rsidRPr="00BD5B9A" w:rsidRDefault="00BD5B9A" w:rsidP="00BD5B9A">
            <w:pPr>
              <w:jc w:val="center"/>
              <w:rPr>
                <w:bCs/>
                <w:sz w:val="24"/>
                <w:szCs w:val="24"/>
              </w:rPr>
            </w:pPr>
            <w:r w:rsidRPr="00BD5B9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77" w:type="pct"/>
            <w:vAlign w:val="center"/>
          </w:tcPr>
          <w:p w:rsidR="00BD5B9A" w:rsidRPr="00BD5B9A" w:rsidRDefault="00BD5B9A" w:rsidP="00BD5B9A">
            <w:pPr>
              <w:jc w:val="center"/>
              <w:rPr>
                <w:bCs/>
                <w:sz w:val="24"/>
                <w:szCs w:val="24"/>
              </w:rPr>
            </w:pPr>
            <w:r w:rsidRPr="00BD5B9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96" w:type="pct"/>
            <w:vAlign w:val="center"/>
          </w:tcPr>
          <w:p w:rsidR="00BD5B9A" w:rsidRPr="00BD5B9A" w:rsidRDefault="00BD5B9A" w:rsidP="00BD5B9A">
            <w:pPr>
              <w:jc w:val="center"/>
              <w:rPr>
                <w:bCs/>
                <w:sz w:val="24"/>
                <w:szCs w:val="24"/>
              </w:rPr>
            </w:pPr>
            <w:r w:rsidRPr="00BD5B9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601" w:type="pct"/>
            <w:vAlign w:val="center"/>
          </w:tcPr>
          <w:p w:rsidR="00BD5B9A" w:rsidRPr="00BD5B9A" w:rsidRDefault="00BD5B9A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 w:rsidRPr="00BD5B9A">
              <w:rPr>
                <w:bCs/>
                <w:spacing w:val="-4"/>
                <w:sz w:val="24"/>
                <w:szCs w:val="24"/>
              </w:rPr>
              <w:t>4</w:t>
            </w:r>
          </w:p>
        </w:tc>
      </w:tr>
      <w:tr w:rsidR="00BD5B9A" w:rsidRPr="00BD5B9A" w:rsidTr="00BD5B9A">
        <w:trPr>
          <w:cantSplit/>
          <w:trHeight w:val="362"/>
        </w:trPr>
        <w:tc>
          <w:tcPr>
            <w:tcW w:w="826" w:type="pct"/>
            <w:vAlign w:val="center"/>
          </w:tcPr>
          <w:p w:rsidR="00BD5B9A" w:rsidRPr="00BD5B9A" w:rsidRDefault="00BD5B9A" w:rsidP="00BD5B9A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Раздел 1</w:t>
            </w:r>
          </w:p>
        </w:tc>
        <w:tc>
          <w:tcPr>
            <w:tcW w:w="777" w:type="pct"/>
            <w:vAlign w:val="center"/>
          </w:tcPr>
          <w:p w:rsidR="00BD5B9A" w:rsidRPr="00BD5B9A" w:rsidRDefault="00BD5B9A" w:rsidP="00BD5B9A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Госстандарт Республики Беларусь</w:t>
            </w:r>
          </w:p>
        </w:tc>
        <w:tc>
          <w:tcPr>
            <w:tcW w:w="1796" w:type="pct"/>
            <w:vAlign w:val="center"/>
          </w:tcPr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Примечание изложить в редакции:</w:t>
            </w:r>
          </w:p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«Примечание – Данный метод непригоден для масел с содержанием соли ниже установленного уровня 0,1 %»</w:t>
            </w:r>
          </w:p>
        </w:tc>
        <w:tc>
          <w:tcPr>
            <w:tcW w:w="1601" w:type="pct"/>
            <w:vAlign w:val="center"/>
          </w:tcPr>
          <w:p w:rsidR="00BD5B9A" w:rsidRPr="00533B35" w:rsidRDefault="00760E99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Не принято, поскольку указание непригодности метода в отношении масел с содержанием соли менее 0,1 %, противоречит международному стандарту, где установлено, что в случае пользования данного метода для таких масел, ожидаемый результат будет выше чем для соленного масла, и приведена ссылка на </w:t>
            </w:r>
            <w:r w:rsidR="00533B35">
              <w:rPr>
                <w:bCs/>
                <w:spacing w:val="-4"/>
                <w:sz w:val="24"/>
                <w:szCs w:val="24"/>
              </w:rPr>
              <w:t xml:space="preserve">Бюллетень </w:t>
            </w:r>
            <w:r w:rsidR="00533B35" w:rsidRPr="00533B35">
              <w:rPr>
                <w:bCs/>
                <w:spacing w:val="-4"/>
                <w:sz w:val="24"/>
                <w:szCs w:val="24"/>
              </w:rPr>
              <w:t xml:space="preserve">Международной молочной федерацией </w:t>
            </w:r>
            <w:r w:rsidR="00533B35">
              <w:rPr>
                <w:bCs/>
                <w:spacing w:val="-4"/>
                <w:sz w:val="24"/>
                <w:szCs w:val="24"/>
                <w:lang w:val="en-US"/>
              </w:rPr>
              <w:t>IDF</w:t>
            </w:r>
          </w:p>
        </w:tc>
      </w:tr>
      <w:tr w:rsidR="00BD5B9A" w:rsidRPr="00BD5B9A" w:rsidTr="00BD5B9A">
        <w:trPr>
          <w:cantSplit/>
          <w:trHeight w:val="362"/>
        </w:trPr>
        <w:tc>
          <w:tcPr>
            <w:tcW w:w="826" w:type="pct"/>
            <w:vAlign w:val="center"/>
          </w:tcPr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Раздел 2</w:t>
            </w:r>
          </w:p>
        </w:tc>
        <w:tc>
          <w:tcPr>
            <w:tcW w:w="777" w:type="pct"/>
            <w:vAlign w:val="center"/>
          </w:tcPr>
          <w:p w:rsidR="00BD5B9A" w:rsidRPr="00BD5B9A" w:rsidRDefault="00BD5B9A" w:rsidP="00BD5B9A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Госстандарт Республики Беларусь</w:t>
            </w:r>
          </w:p>
        </w:tc>
        <w:tc>
          <w:tcPr>
            <w:tcW w:w="1796" w:type="pct"/>
            <w:vAlign w:val="center"/>
          </w:tcPr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п. 2.1, примечание изложить в редакции:</w:t>
            </w:r>
          </w:p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«Содержание соли выражается в виде массовой доли хлорида натрия (соли) в процентах»</w:t>
            </w:r>
          </w:p>
        </w:tc>
        <w:tc>
          <w:tcPr>
            <w:tcW w:w="1601" w:type="pct"/>
            <w:vAlign w:val="center"/>
          </w:tcPr>
          <w:p w:rsidR="00BD5B9A" w:rsidRPr="00BD5B9A" w:rsidRDefault="00ED1F73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Принято</w:t>
            </w:r>
          </w:p>
        </w:tc>
      </w:tr>
      <w:tr w:rsidR="00BD5B9A" w:rsidRPr="00BD5B9A" w:rsidTr="00BD5B9A">
        <w:trPr>
          <w:cantSplit/>
          <w:trHeight w:val="20"/>
        </w:trPr>
        <w:tc>
          <w:tcPr>
            <w:tcW w:w="826" w:type="pct"/>
            <w:vAlign w:val="center"/>
          </w:tcPr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lastRenderedPageBreak/>
              <w:t>Раздел 4</w:t>
            </w:r>
          </w:p>
        </w:tc>
        <w:tc>
          <w:tcPr>
            <w:tcW w:w="777" w:type="pct"/>
            <w:vAlign w:val="center"/>
          </w:tcPr>
          <w:p w:rsidR="00BD5B9A" w:rsidRPr="00BD5B9A" w:rsidRDefault="00BD5B9A" w:rsidP="00BD5B9A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Госстандарт</w:t>
            </w:r>
            <w:r w:rsidRPr="00BD5B9A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1796" w:type="pct"/>
            <w:vAlign w:val="center"/>
          </w:tcPr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п. 4.1, второй абзац:</w:t>
            </w:r>
          </w:p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- второе предложение требуются дополнительные разъяснения, что значит «унифицировать раствор», например: «установление точной концентрации приготовленного раствора нитрата серебра с помощью хлорида натрия, высушенного при определенных условиях»;</w:t>
            </w:r>
          </w:p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- изложить в редакции:</w:t>
            </w:r>
          </w:p>
          <w:p w:rsidR="00BD5B9A" w:rsidRPr="00BD5B9A" w:rsidRDefault="00BD5B9A" w:rsidP="00BD5B9A">
            <w:pPr>
              <w:pStyle w:val="Style15"/>
              <w:widowControl/>
              <w:jc w:val="center"/>
              <w:rPr>
                <w:rFonts w:ascii="Times New Roman" w:hAnsi="Times New Roman" w:cs="Times New Roman"/>
                <w:color w:val="000000"/>
                <w:lang w:val="kk-KZ" w:eastAsia="en-US"/>
              </w:rPr>
            </w:pPr>
            <w:r w:rsidRPr="00BD5B9A">
              <w:rPr>
                <w:rFonts w:ascii="Times New Roman" w:hAnsi="Times New Roman" w:cs="Times New Roman"/>
              </w:rPr>
              <w:t>«</w:t>
            </w:r>
            <w:r w:rsidRPr="00BD5B9A">
              <w:rPr>
                <w:rStyle w:val="FontStyle5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воде, свободной от диоксида углерода, растворить от </w:t>
            </w:r>
            <w:smartTag w:uri="urn:schemas-microsoft-com:office:smarttags" w:element="metricconverter">
              <w:smartTagPr>
                <w:attr w:name="ProductID" w:val="13,6 г"/>
              </w:smartTagPr>
              <w:r w:rsidRPr="00BD5B9A">
                <w:rPr>
                  <w:rStyle w:val="FontStyle54"/>
                  <w:rFonts w:ascii="Times New Roman" w:hAnsi="Times New Roman" w:cs="Times New Roman"/>
                  <w:sz w:val="24"/>
                  <w:szCs w:val="24"/>
                  <w:lang w:eastAsia="en-US"/>
                </w:rPr>
                <w:t>13,6 г</w:t>
              </w:r>
            </w:smartTag>
            <w:r w:rsidRPr="00BD5B9A">
              <w:rPr>
                <w:rStyle w:val="FontStyle5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до </w:t>
            </w:r>
            <w:smartTag w:uri="urn:schemas-microsoft-com:office:smarttags" w:element="metricconverter">
              <w:smartTagPr>
                <w:attr w:name="ProductID" w:val="20,4 г"/>
              </w:smartTagPr>
              <w:r w:rsidRPr="00BD5B9A">
                <w:rPr>
                  <w:rStyle w:val="FontStyle54"/>
                  <w:rFonts w:ascii="Times New Roman" w:hAnsi="Times New Roman" w:cs="Times New Roman"/>
                  <w:sz w:val="24"/>
                  <w:szCs w:val="24"/>
                  <w:lang w:eastAsia="en-US"/>
                </w:rPr>
                <w:t>20,4 г</w:t>
              </w:r>
            </w:smartTag>
            <w:r w:rsidRPr="00BD5B9A">
              <w:rPr>
                <w:rStyle w:val="FontStyle54"/>
                <w:rFonts w:ascii="Times New Roman" w:hAnsi="Times New Roman" w:cs="Times New Roman"/>
                <w:sz w:val="24"/>
                <w:szCs w:val="24"/>
                <w:lang w:eastAsia="en-US"/>
              </w:rPr>
              <w:t>. нитрата серебра и довести объем до 1 000 мл. Установить действительную концентрацию стандартного титрованного раствора нитрата серебра по хлористому натрию, предварительно высушенному при температуре 300 °</w:t>
            </w:r>
            <w:r w:rsidRPr="00BD5B9A">
              <w:rPr>
                <w:rStyle w:val="FontStyle5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BD5B9A">
              <w:rPr>
                <w:rStyle w:val="FontStyle5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течение 2 ч.</w:t>
            </w:r>
            <w:r w:rsidRPr="00BD5B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01" w:type="pct"/>
            <w:vAlign w:val="center"/>
          </w:tcPr>
          <w:p w:rsidR="00BD5B9A" w:rsidRPr="00BD5B9A" w:rsidRDefault="00ED1F73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Принято</w:t>
            </w:r>
          </w:p>
        </w:tc>
      </w:tr>
      <w:tr w:rsidR="00FB08BE" w:rsidRPr="00BD5B9A" w:rsidTr="00BD5B9A">
        <w:trPr>
          <w:cantSplit/>
          <w:trHeight w:val="362"/>
        </w:trPr>
        <w:tc>
          <w:tcPr>
            <w:tcW w:w="826" w:type="pct"/>
            <w:vMerge w:val="restart"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Раздел 5</w:t>
            </w:r>
          </w:p>
        </w:tc>
        <w:tc>
          <w:tcPr>
            <w:tcW w:w="777" w:type="pct"/>
            <w:vMerge w:val="restart"/>
            <w:vAlign w:val="center"/>
          </w:tcPr>
          <w:p w:rsidR="00FB08BE" w:rsidRPr="00BD5B9A" w:rsidRDefault="00FB08BE" w:rsidP="00BD5B9A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Госстандарт Республики Беларусь</w:t>
            </w:r>
          </w:p>
        </w:tc>
        <w:tc>
          <w:tcPr>
            <w:tcW w:w="1796" w:type="pct"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Первое предложение заменить слова «а также следующее» словами «в частности, следующее»</w:t>
            </w:r>
          </w:p>
        </w:tc>
        <w:tc>
          <w:tcPr>
            <w:tcW w:w="1601" w:type="pct"/>
            <w:vAlign w:val="center"/>
          </w:tcPr>
          <w:p w:rsidR="00FB08BE" w:rsidRPr="00BD5B9A" w:rsidRDefault="00FB08BE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Принято </w:t>
            </w:r>
          </w:p>
        </w:tc>
      </w:tr>
      <w:tr w:rsidR="00FB08BE" w:rsidRPr="00BD5B9A" w:rsidTr="00BD5B9A">
        <w:trPr>
          <w:cantSplit/>
          <w:trHeight w:val="362"/>
        </w:trPr>
        <w:tc>
          <w:tcPr>
            <w:tcW w:w="826" w:type="pct"/>
            <w:vMerge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pct"/>
            <w:vMerge/>
            <w:vAlign w:val="center"/>
          </w:tcPr>
          <w:p w:rsidR="00FB08BE" w:rsidRPr="00BD5B9A" w:rsidRDefault="00FB08BE" w:rsidP="00BD5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pct"/>
            <w:vAlign w:val="center"/>
          </w:tcPr>
          <w:p w:rsidR="00FB08BE" w:rsidRPr="00BD5B9A" w:rsidRDefault="00FB08BE" w:rsidP="00BD5B9A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п. 5.2 указать точность измерения или цену деления и диапазон измерения</w:t>
            </w:r>
          </w:p>
        </w:tc>
        <w:tc>
          <w:tcPr>
            <w:tcW w:w="1601" w:type="pct"/>
            <w:vAlign w:val="center"/>
          </w:tcPr>
          <w:p w:rsidR="00FB08BE" w:rsidRPr="00BD5B9A" w:rsidRDefault="00FB08BE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Не принято, поскольку проект межгосударственного стандарта идентичен международному стандарту </w:t>
            </w:r>
            <w:r>
              <w:rPr>
                <w:bCs/>
                <w:spacing w:val="-4"/>
                <w:sz w:val="24"/>
                <w:szCs w:val="24"/>
                <w:lang w:val="en-US"/>
              </w:rPr>
              <w:t>ISO</w:t>
            </w:r>
            <w:r w:rsidRPr="00F74107">
              <w:rPr>
                <w:bCs/>
                <w:spacing w:val="-4"/>
                <w:sz w:val="24"/>
                <w:szCs w:val="24"/>
              </w:rPr>
              <w:t xml:space="preserve"> 15648</w:t>
            </w:r>
            <w:r>
              <w:rPr>
                <w:bCs/>
                <w:spacing w:val="-4"/>
                <w:sz w:val="24"/>
                <w:szCs w:val="24"/>
              </w:rPr>
              <w:t>, указать точность измерения или цену деления потенциометра не представляется возможным</w:t>
            </w:r>
          </w:p>
        </w:tc>
      </w:tr>
      <w:tr w:rsidR="00FB08BE" w:rsidRPr="00BD5B9A" w:rsidTr="00BD5B9A">
        <w:trPr>
          <w:cantSplit/>
          <w:trHeight w:val="362"/>
        </w:trPr>
        <w:tc>
          <w:tcPr>
            <w:tcW w:w="826" w:type="pct"/>
            <w:vMerge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pct"/>
            <w:vMerge/>
            <w:vAlign w:val="center"/>
          </w:tcPr>
          <w:p w:rsidR="00FB08BE" w:rsidRPr="00BD5B9A" w:rsidRDefault="00FB08BE" w:rsidP="00BD5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pct"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п. 5.4 изложить в редакции:</w:t>
            </w:r>
          </w:p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«Цилиндр градуированный, вместимостью 50 мл»</w:t>
            </w:r>
          </w:p>
        </w:tc>
        <w:tc>
          <w:tcPr>
            <w:tcW w:w="1601" w:type="pct"/>
            <w:vAlign w:val="center"/>
          </w:tcPr>
          <w:p w:rsidR="00FB08BE" w:rsidRPr="00BD5B9A" w:rsidRDefault="00FB08BE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Принято </w:t>
            </w:r>
          </w:p>
        </w:tc>
      </w:tr>
      <w:tr w:rsidR="00FB08BE" w:rsidRPr="00BD5B9A" w:rsidTr="00BD5B9A">
        <w:trPr>
          <w:cantSplit/>
          <w:trHeight w:val="362"/>
        </w:trPr>
        <w:tc>
          <w:tcPr>
            <w:tcW w:w="826" w:type="pct"/>
            <w:vMerge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pct"/>
            <w:vMerge/>
            <w:vAlign w:val="center"/>
          </w:tcPr>
          <w:p w:rsidR="00FB08BE" w:rsidRPr="00BD5B9A" w:rsidRDefault="00FB08BE" w:rsidP="00BD5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pct"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п. 5.5 изложить в редакции:</w:t>
            </w:r>
          </w:p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«Бюретка, вместимостью 50 мл и ценой деления 0,1 мл, или бюретка … с ценой деления 0,01 мл, сделанные …»</w:t>
            </w:r>
          </w:p>
        </w:tc>
        <w:tc>
          <w:tcPr>
            <w:tcW w:w="1601" w:type="pct"/>
            <w:vAlign w:val="center"/>
          </w:tcPr>
          <w:p w:rsidR="00FB08BE" w:rsidRPr="00BD5B9A" w:rsidRDefault="00FB08BE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Принято </w:t>
            </w:r>
          </w:p>
        </w:tc>
      </w:tr>
      <w:tr w:rsidR="00FB08BE" w:rsidRPr="00BD5B9A" w:rsidTr="00BD5B9A">
        <w:trPr>
          <w:cantSplit/>
          <w:trHeight w:val="362"/>
        </w:trPr>
        <w:tc>
          <w:tcPr>
            <w:tcW w:w="826" w:type="pct"/>
            <w:vMerge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pct"/>
            <w:vMerge/>
            <w:vAlign w:val="center"/>
          </w:tcPr>
          <w:p w:rsidR="00FB08BE" w:rsidRPr="00BD5B9A" w:rsidRDefault="00FB08BE" w:rsidP="00BD5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pct"/>
            <w:vAlign w:val="center"/>
          </w:tcPr>
          <w:p w:rsidR="00FB08BE" w:rsidRPr="00BD5B9A" w:rsidRDefault="00FB08BE" w:rsidP="00F74107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 xml:space="preserve">п. 5.6 заменить «… из пунктов 5.2-5.6» на «... </w:t>
            </w:r>
            <w:proofErr w:type="spellStart"/>
            <w:r w:rsidRPr="00BD5B9A">
              <w:rPr>
                <w:sz w:val="24"/>
                <w:szCs w:val="24"/>
              </w:rPr>
              <w:t>п.п</w:t>
            </w:r>
            <w:proofErr w:type="spellEnd"/>
            <w:r w:rsidRPr="00BD5B9A">
              <w:rPr>
                <w:sz w:val="24"/>
                <w:szCs w:val="24"/>
              </w:rPr>
              <w:t>. 5.2-5.6» и изложить данный пункт после п. 5.7</w:t>
            </w:r>
          </w:p>
        </w:tc>
        <w:tc>
          <w:tcPr>
            <w:tcW w:w="1601" w:type="pct"/>
            <w:vAlign w:val="center"/>
          </w:tcPr>
          <w:p w:rsidR="00FB08BE" w:rsidRPr="00F74107" w:rsidRDefault="00FB08BE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Принято частично, изложить пункт после п. 5.7 не соответствует структуре международного стандарта </w:t>
            </w:r>
            <w:r>
              <w:rPr>
                <w:bCs/>
                <w:spacing w:val="-4"/>
                <w:sz w:val="24"/>
                <w:szCs w:val="24"/>
                <w:lang w:val="en-US"/>
              </w:rPr>
              <w:t>ISO</w:t>
            </w:r>
            <w:r w:rsidRPr="00F74107">
              <w:rPr>
                <w:bCs/>
                <w:spacing w:val="-4"/>
                <w:sz w:val="24"/>
                <w:szCs w:val="24"/>
              </w:rPr>
              <w:t xml:space="preserve"> 15648</w:t>
            </w:r>
          </w:p>
        </w:tc>
      </w:tr>
      <w:tr w:rsidR="00BD5B9A" w:rsidRPr="00BD5B9A" w:rsidTr="00BD5B9A">
        <w:trPr>
          <w:cantSplit/>
          <w:trHeight w:val="362"/>
        </w:trPr>
        <w:tc>
          <w:tcPr>
            <w:tcW w:w="826" w:type="pct"/>
            <w:vAlign w:val="center"/>
          </w:tcPr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lastRenderedPageBreak/>
              <w:t>Раздел 7</w:t>
            </w:r>
          </w:p>
        </w:tc>
        <w:tc>
          <w:tcPr>
            <w:tcW w:w="777" w:type="pct"/>
            <w:vAlign w:val="center"/>
          </w:tcPr>
          <w:p w:rsidR="00BD5B9A" w:rsidRPr="00BD5B9A" w:rsidRDefault="00BD5B9A" w:rsidP="00BD5B9A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Госстандарт</w:t>
            </w:r>
            <w:r w:rsidRPr="00BD5B9A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1796" w:type="pct"/>
            <w:vAlign w:val="center"/>
          </w:tcPr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Второй абзац, перечисление а) дополнительно уточнить следующую информацию:</w:t>
            </w:r>
          </w:p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- термин «исходный контейнер»;</w:t>
            </w:r>
          </w:p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- способ нагревания пробы;</w:t>
            </w:r>
          </w:p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- каким образом контролировать мягкость в не -   - открытом контейнере;</w:t>
            </w:r>
          </w:p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- каким образом контролировать температуру перемешивания не выше 30°С;</w:t>
            </w:r>
          </w:p>
          <w:p w:rsidR="00BD5B9A" w:rsidRPr="00BD5B9A" w:rsidRDefault="00BD5B9A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- каким образом перемешивать пробу до однородного состояния (механическим миксером или вручную) в неоткрытом контейнере</w:t>
            </w:r>
          </w:p>
        </w:tc>
        <w:tc>
          <w:tcPr>
            <w:tcW w:w="1601" w:type="pct"/>
            <w:vAlign w:val="center"/>
          </w:tcPr>
          <w:p w:rsidR="00BD5B9A" w:rsidRPr="00BD5B9A" w:rsidRDefault="00B04B7B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Раздел изложен в новой редакции</w:t>
            </w:r>
          </w:p>
        </w:tc>
      </w:tr>
      <w:tr w:rsidR="00FB08BE" w:rsidRPr="00BD5B9A" w:rsidTr="00BD5B9A">
        <w:trPr>
          <w:cantSplit/>
          <w:trHeight w:val="362"/>
        </w:trPr>
        <w:tc>
          <w:tcPr>
            <w:tcW w:w="826" w:type="pct"/>
            <w:vMerge w:val="restart"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Раздел 8</w:t>
            </w:r>
          </w:p>
        </w:tc>
        <w:tc>
          <w:tcPr>
            <w:tcW w:w="777" w:type="pct"/>
            <w:vMerge w:val="restart"/>
            <w:vAlign w:val="center"/>
          </w:tcPr>
          <w:p w:rsidR="00FB08BE" w:rsidRPr="00BD5B9A" w:rsidRDefault="00FB08BE" w:rsidP="00BD5B9A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Госстандарт Республики Беларусь</w:t>
            </w:r>
          </w:p>
        </w:tc>
        <w:tc>
          <w:tcPr>
            <w:tcW w:w="1796" w:type="pct"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5B9A">
              <w:rPr>
                <w:sz w:val="24"/>
                <w:szCs w:val="24"/>
              </w:rPr>
              <w:t>п.п</w:t>
            </w:r>
            <w:proofErr w:type="spellEnd"/>
            <w:r w:rsidRPr="00BD5B9A">
              <w:rPr>
                <w:sz w:val="24"/>
                <w:szCs w:val="24"/>
              </w:rPr>
              <w:t>. 8.1, 8.2.1 уточнить, в практике химического анализа обычно принято вести речь о навеске пробы, а не о рабочей части пробы, поэтому начало первых предложений в указанных пунктах изложить в редакции:</w:t>
            </w:r>
          </w:p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п. 8.1 «Навеску пробы (см. 7) массой …».</w:t>
            </w:r>
          </w:p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п. 8.2.1 «В колбу с навеской добавить 100 мл …».</w:t>
            </w:r>
          </w:p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С учетом выше сказанного, в п 8.3. заменить слова «за исключением рабочей части пробы» словами «без навески пробы»</w:t>
            </w:r>
          </w:p>
        </w:tc>
        <w:tc>
          <w:tcPr>
            <w:tcW w:w="1601" w:type="pct"/>
            <w:vMerge w:val="restart"/>
            <w:vAlign w:val="center"/>
          </w:tcPr>
          <w:p w:rsidR="00FB08BE" w:rsidRPr="00BD5B9A" w:rsidRDefault="00FB08BE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Принято, раздел изложен в новой редакции</w:t>
            </w:r>
          </w:p>
        </w:tc>
      </w:tr>
      <w:tr w:rsidR="00FB08BE" w:rsidRPr="00BD5B9A" w:rsidTr="00BD5B9A">
        <w:trPr>
          <w:cantSplit/>
          <w:trHeight w:val="362"/>
        </w:trPr>
        <w:tc>
          <w:tcPr>
            <w:tcW w:w="826" w:type="pct"/>
            <w:vMerge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pct"/>
            <w:vMerge/>
            <w:vAlign w:val="center"/>
          </w:tcPr>
          <w:p w:rsidR="00FB08BE" w:rsidRPr="00BD5B9A" w:rsidRDefault="00FB08BE" w:rsidP="00BD5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pct"/>
            <w:vAlign w:val="center"/>
          </w:tcPr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п. 8.2.1, примечание изложить в редакции:</w:t>
            </w:r>
          </w:p>
          <w:p w:rsidR="00FB08BE" w:rsidRPr="00BD5B9A" w:rsidRDefault="00FB08BE" w:rsidP="00BD5B9A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«</w:t>
            </w:r>
            <w:r w:rsidRPr="00BD5B9A">
              <w:rPr>
                <w:rStyle w:val="FontStyle5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Конечная точка титрования соответствует максимальной разности потенциалов, которая наблюдается между двумя последовательными равными добавками (около 0,05 мл) </w:t>
            </w:r>
            <w:r w:rsidRPr="00BD5B9A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стандартного титрованного раствора нитрата серебра</w:t>
            </w:r>
            <w:r w:rsidRPr="00BD5B9A">
              <w:rPr>
                <w:sz w:val="24"/>
                <w:szCs w:val="24"/>
              </w:rPr>
              <w:t>»</w:t>
            </w:r>
          </w:p>
        </w:tc>
        <w:tc>
          <w:tcPr>
            <w:tcW w:w="1601" w:type="pct"/>
            <w:vMerge/>
            <w:vAlign w:val="center"/>
          </w:tcPr>
          <w:p w:rsidR="00FB08BE" w:rsidRPr="00BD5B9A" w:rsidRDefault="00FB08BE" w:rsidP="00BD5B9A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</w:p>
        </w:tc>
      </w:tr>
      <w:tr w:rsidR="00FB08BE" w:rsidRPr="00BD5B9A" w:rsidTr="00BD5B9A">
        <w:trPr>
          <w:cantSplit/>
          <w:trHeight w:val="362"/>
        </w:trPr>
        <w:tc>
          <w:tcPr>
            <w:tcW w:w="826" w:type="pct"/>
            <w:vAlign w:val="center"/>
          </w:tcPr>
          <w:p w:rsidR="00FB08BE" w:rsidRPr="00BD5B9A" w:rsidRDefault="00FB08BE" w:rsidP="00FB08BE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lastRenderedPageBreak/>
              <w:t>Раздел 9</w:t>
            </w:r>
          </w:p>
        </w:tc>
        <w:tc>
          <w:tcPr>
            <w:tcW w:w="777" w:type="pct"/>
            <w:vAlign w:val="center"/>
          </w:tcPr>
          <w:p w:rsidR="00FB08BE" w:rsidRPr="00BD5B9A" w:rsidRDefault="00FB08BE" w:rsidP="00FB08BE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Госстандарт</w:t>
            </w:r>
            <w:r w:rsidRPr="00BD5B9A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1796" w:type="pct"/>
            <w:vAlign w:val="center"/>
          </w:tcPr>
          <w:p w:rsidR="00FB08BE" w:rsidRPr="00BD5B9A" w:rsidRDefault="00FB08BE" w:rsidP="00FB08BE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п. 9.1:</w:t>
            </w:r>
          </w:p>
          <w:p w:rsidR="00FB08BE" w:rsidRPr="00BD5B9A" w:rsidRDefault="00FB08BE" w:rsidP="00FB08BE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- первое предложение изложить в редакции:</w:t>
            </w:r>
          </w:p>
          <w:p w:rsidR="00FB08BE" w:rsidRPr="00BD5B9A" w:rsidRDefault="00FB08BE" w:rsidP="00FB08BE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 xml:space="preserve">«Массовую долю соли в образце для </w:t>
            </w:r>
            <w:proofErr w:type="spellStart"/>
            <w:r w:rsidRPr="00BD5B9A">
              <w:rPr>
                <w:sz w:val="24"/>
                <w:szCs w:val="24"/>
              </w:rPr>
              <w:t>испытаний,W</w:t>
            </w:r>
            <w:proofErr w:type="spellEnd"/>
            <w:r w:rsidRPr="00BD5B9A">
              <w:rPr>
                <w:sz w:val="24"/>
                <w:szCs w:val="24"/>
              </w:rPr>
              <w:t>, %, рассчитывают по формуле»;</w:t>
            </w:r>
          </w:p>
          <w:p w:rsidR="00FB08BE" w:rsidRPr="00BD5B9A" w:rsidRDefault="00FB08BE" w:rsidP="00FB08BE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- в конце формулы удалить «%»;</w:t>
            </w:r>
          </w:p>
          <w:p w:rsidR="00FB08BE" w:rsidRPr="00BD5B9A" w:rsidRDefault="00FB08BE" w:rsidP="00FB08BE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- внести изменения при описании формулы:</w:t>
            </w:r>
          </w:p>
          <w:p w:rsidR="00FB08BE" w:rsidRPr="00BD5B9A" w:rsidRDefault="00FB08BE" w:rsidP="00FB08BE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BD5B9A">
              <w:rPr>
                <w:sz w:val="24"/>
                <w:szCs w:val="24"/>
              </w:rPr>
              <w:t>Vо</w:t>
            </w:r>
            <w:proofErr w:type="spellEnd"/>
            <w:r w:rsidRPr="00BD5B9A">
              <w:rPr>
                <w:sz w:val="24"/>
                <w:szCs w:val="24"/>
              </w:rPr>
              <w:t xml:space="preserve"> и V1 – заменить слова «использованного в» словами «израсходованного в»;</w:t>
            </w:r>
          </w:p>
          <w:p w:rsidR="00FB08BE" w:rsidRPr="00BD5B9A" w:rsidRDefault="00FB08BE" w:rsidP="00FB08BE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«с – точная концентрация стандартного раствора нитрата серебра, моль/л»;</w:t>
            </w:r>
          </w:p>
          <w:p w:rsidR="00FB08BE" w:rsidRPr="00BD5B9A" w:rsidRDefault="00FB08BE" w:rsidP="00FB08BE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«m – масса навески пробы (см. 8.1), г»</w:t>
            </w:r>
          </w:p>
        </w:tc>
        <w:tc>
          <w:tcPr>
            <w:tcW w:w="1601" w:type="pct"/>
            <w:vAlign w:val="center"/>
          </w:tcPr>
          <w:p w:rsidR="00FB08BE" w:rsidRPr="00BD5B9A" w:rsidRDefault="00FB08BE" w:rsidP="00FB08BE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Принято, раздел изложен в новой редакции</w:t>
            </w:r>
          </w:p>
        </w:tc>
      </w:tr>
      <w:tr w:rsidR="00FB08BE" w:rsidRPr="00BD5B9A" w:rsidTr="00BD5B9A">
        <w:trPr>
          <w:cantSplit/>
          <w:trHeight w:val="362"/>
        </w:trPr>
        <w:tc>
          <w:tcPr>
            <w:tcW w:w="826" w:type="pct"/>
            <w:vAlign w:val="center"/>
          </w:tcPr>
          <w:p w:rsidR="00FB08BE" w:rsidRPr="00BD5B9A" w:rsidRDefault="00FB08BE" w:rsidP="00FB08BE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Раздел 11</w:t>
            </w:r>
          </w:p>
        </w:tc>
        <w:tc>
          <w:tcPr>
            <w:tcW w:w="777" w:type="pct"/>
            <w:vAlign w:val="center"/>
          </w:tcPr>
          <w:p w:rsidR="00FB08BE" w:rsidRPr="00BD5B9A" w:rsidRDefault="00FB08BE" w:rsidP="00FB08BE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Госстандарт</w:t>
            </w:r>
            <w:r w:rsidRPr="00BD5B9A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1796" w:type="pct"/>
            <w:vAlign w:val="center"/>
          </w:tcPr>
          <w:p w:rsidR="00FB08BE" w:rsidRPr="00BD5B9A" w:rsidRDefault="00FB08BE" w:rsidP="00FB08BE">
            <w:pPr>
              <w:widowControl w:val="0"/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Первый абзац, перечисление b) заменить слова «забора образца» словами «отбора образца»</w:t>
            </w:r>
          </w:p>
        </w:tc>
        <w:tc>
          <w:tcPr>
            <w:tcW w:w="1601" w:type="pct"/>
            <w:vAlign w:val="center"/>
          </w:tcPr>
          <w:p w:rsidR="00FB08BE" w:rsidRPr="00BD5B9A" w:rsidRDefault="00FB08BE" w:rsidP="00FB08BE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Принято, исправлено</w:t>
            </w:r>
          </w:p>
        </w:tc>
      </w:tr>
      <w:tr w:rsidR="00FB08BE" w:rsidRPr="00BD5B9A" w:rsidTr="00BD5B9A">
        <w:trPr>
          <w:cantSplit/>
          <w:trHeight w:val="362"/>
        </w:trPr>
        <w:tc>
          <w:tcPr>
            <w:tcW w:w="826" w:type="pct"/>
            <w:vAlign w:val="center"/>
          </w:tcPr>
          <w:p w:rsidR="00FB08BE" w:rsidRPr="00BD5B9A" w:rsidRDefault="00FB08BE" w:rsidP="00FB08BE">
            <w:pPr>
              <w:jc w:val="center"/>
              <w:rPr>
                <w:sz w:val="24"/>
                <w:szCs w:val="24"/>
              </w:rPr>
            </w:pPr>
            <w:r w:rsidRPr="00BD5B9A">
              <w:rPr>
                <w:bCs/>
                <w:sz w:val="24"/>
                <w:szCs w:val="24"/>
                <w:lang w:bidi="ru-RU"/>
              </w:rPr>
              <w:t>Библиография</w:t>
            </w:r>
          </w:p>
        </w:tc>
        <w:tc>
          <w:tcPr>
            <w:tcW w:w="777" w:type="pct"/>
            <w:vAlign w:val="center"/>
          </w:tcPr>
          <w:p w:rsidR="00FB08BE" w:rsidRPr="00BD5B9A" w:rsidRDefault="00FB08BE" w:rsidP="00FB08BE">
            <w:pPr>
              <w:jc w:val="center"/>
              <w:rPr>
                <w:sz w:val="24"/>
                <w:szCs w:val="24"/>
              </w:rPr>
            </w:pPr>
            <w:r w:rsidRPr="00BD5B9A">
              <w:rPr>
                <w:sz w:val="24"/>
                <w:szCs w:val="24"/>
              </w:rPr>
              <w:t>Госстандарт</w:t>
            </w:r>
            <w:r w:rsidRPr="00BD5B9A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1796" w:type="pct"/>
            <w:vAlign w:val="center"/>
          </w:tcPr>
          <w:p w:rsidR="00FB08BE" w:rsidRPr="00BD5B9A" w:rsidRDefault="00FB08BE" w:rsidP="00FB08BE">
            <w:pPr>
              <w:jc w:val="center"/>
              <w:rPr>
                <w:bCs/>
                <w:sz w:val="24"/>
                <w:szCs w:val="24"/>
                <w:lang w:bidi="ru-RU"/>
              </w:rPr>
            </w:pPr>
            <w:r w:rsidRPr="00BD5B9A">
              <w:rPr>
                <w:bCs/>
                <w:sz w:val="24"/>
                <w:szCs w:val="24"/>
                <w:lang w:bidi="ru-RU"/>
              </w:rPr>
              <w:t>Изложить в соответствии с требованиями п. 6.12 ГОСТ 1.3-2014</w:t>
            </w:r>
          </w:p>
        </w:tc>
        <w:tc>
          <w:tcPr>
            <w:tcW w:w="1601" w:type="pct"/>
            <w:vAlign w:val="center"/>
          </w:tcPr>
          <w:p w:rsidR="00FB08BE" w:rsidRPr="00BD5B9A" w:rsidRDefault="00FB08BE" w:rsidP="00FB08BE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Принято, исправлено</w:t>
            </w:r>
          </w:p>
        </w:tc>
      </w:tr>
      <w:tr w:rsidR="001452B1" w:rsidRPr="00BD5B9A" w:rsidTr="00BD5B9A">
        <w:trPr>
          <w:cantSplit/>
          <w:trHeight w:val="362"/>
        </w:trPr>
        <w:tc>
          <w:tcPr>
            <w:tcW w:w="826" w:type="pct"/>
            <w:vAlign w:val="center"/>
          </w:tcPr>
          <w:p w:rsidR="001452B1" w:rsidRPr="001452B1" w:rsidRDefault="001452B1" w:rsidP="001452B1">
            <w:pPr>
              <w:jc w:val="center"/>
              <w:rPr>
                <w:sz w:val="24"/>
                <w:szCs w:val="24"/>
              </w:rPr>
            </w:pPr>
            <w:r w:rsidRPr="001452B1">
              <w:rPr>
                <w:sz w:val="24"/>
                <w:szCs w:val="24"/>
              </w:rPr>
              <w:t>По всему тексту стандарта</w:t>
            </w:r>
          </w:p>
        </w:tc>
        <w:tc>
          <w:tcPr>
            <w:tcW w:w="777" w:type="pct"/>
            <w:vAlign w:val="center"/>
          </w:tcPr>
          <w:p w:rsidR="001452B1" w:rsidRPr="001452B1" w:rsidRDefault="001452B1" w:rsidP="001452B1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К</w:t>
            </w:r>
            <w:r w:rsidRPr="001452B1">
              <w:rPr>
                <w:sz w:val="24"/>
                <w:szCs w:val="24"/>
              </w:rPr>
              <w:t>ыргызстандарт</w:t>
            </w:r>
            <w:proofErr w:type="spellEnd"/>
          </w:p>
        </w:tc>
        <w:tc>
          <w:tcPr>
            <w:tcW w:w="1796" w:type="pct"/>
            <w:vAlign w:val="center"/>
          </w:tcPr>
          <w:p w:rsidR="001452B1" w:rsidRPr="001452B1" w:rsidRDefault="001452B1" w:rsidP="001452B1">
            <w:pPr>
              <w:jc w:val="center"/>
              <w:rPr>
                <w:sz w:val="24"/>
              </w:rPr>
            </w:pPr>
            <w:r w:rsidRPr="001452B1">
              <w:rPr>
                <w:sz w:val="24"/>
              </w:rPr>
              <w:t>Без замечаний и предложений</w:t>
            </w:r>
          </w:p>
        </w:tc>
        <w:tc>
          <w:tcPr>
            <w:tcW w:w="1601" w:type="pct"/>
            <w:vAlign w:val="center"/>
          </w:tcPr>
          <w:p w:rsidR="001452B1" w:rsidRDefault="001452B1" w:rsidP="001452B1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Принято к сведению</w:t>
            </w:r>
          </w:p>
        </w:tc>
      </w:tr>
    </w:tbl>
    <w:p w:rsidR="00582F12" w:rsidRDefault="00582F12">
      <w:pPr>
        <w:rPr>
          <w:sz w:val="24"/>
          <w:szCs w:val="24"/>
        </w:rPr>
      </w:pPr>
    </w:p>
    <w:p w:rsidR="006D1D05" w:rsidRDefault="006D1D05">
      <w:pPr>
        <w:rPr>
          <w:sz w:val="24"/>
          <w:szCs w:val="24"/>
        </w:rPr>
      </w:pPr>
    </w:p>
    <w:p w:rsidR="006D1D05" w:rsidRDefault="006D1D05">
      <w:pPr>
        <w:rPr>
          <w:sz w:val="24"/>
          <w:szCs w:val="24"/>
        </w:rPr>
      </w:pPr>
    </w:p>
    <w:p w:rsidR="006D1D05" w:rsidRPr="006D1D05" w:rsidRDefault="006D1D05" w:rsidP="006D1D05">
      <w:pPr>
        <w:ind w:firstLine="851"/>
        <w:rPr>
          <w:b/>
          <w:sz w:val="24"/>
          <w:szCs w:val="24"/>
        </w:rPr>
      </w:pPr>
      <w:r w:rsidRPr="006D1D05">
        <w:rPr>
          <w:b/>
          <w:sz w:val="24"/>
          <w:szCs w:val="24"/>
        </w:rPr>
        <w:t>Руководитель разработки</w:t>
      </w:r>
    </w:p>
    <w:p w:rsidR="006D1D05" w:rsidRPr="006D1D05" w:rsidRDefault="006D1D05" w:rsidP="006D1D05">
      <w:pPr>
        <w:ind w:firstLine="851"/>
        <w:rPr>
          <w:b/>
          <w:sz w:val="24"/>
          <w:szCs w:val="24"/>
        </w:rPr>
      </w:pPr>
      <w:r w:rsidRPr="006D1D05">
        <w:rPr>
          <w:b/>
          <w:sz w:val="24"/>
          <w:szCs w:val="24"/>
        </w:rPr>
        <w:t>Заместитель Генерального директора РГП «</w:t>
      </w:r>
      <w:proofErr w:type="spellStart"/>
      <w:r w:rsidRPr="006D1D05">
        <w:rPr>
          <w:b/>
          <w:sz w:val="24"/>
          <w:szCs w:val="24"/>
        </w:rPr>
        <w:t>КазСтандарт</w:t>
      </w:r>
      <w:proofErr w:type="spellEnd"/>
      <w:r w:rsidRPr="006D1D05">
        <w:rPr>
          <w:b/>
          <w:sz w:val="24"/>
          <w:szCs w:val="24"/>
        </w:rPr>
        <w:t xml:space="preserve">» </w:t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  <w:t xml:space="preserve">С. </w:t>
      </w:r>
      <w:proofErr w:type="spellStart"/>
      <w:r w:rsidRPr="006D1D05">
        <w:rPr>
          <w:b/>
          <w:sz w:val="24"/>
          <w:szCs w:val="24"/>
        </w:rPr>
        <w:t>Радаев</w:t>
      </w:r>
      <w:proofErr w:type="spellEnd"/>
    </w:p>
    <w:p w:rsidR="006D1D05" w:rsidRDefault="006D1D05" w:rsidP="006D1D05">
      <w:pPr>
        <w:ind w:firstLine="851"/>
        <w:rPr>
          <w:b/>
          <w:sz w:val="24"/>
          <w:szCs w:val="24"/>
        </w:rPr>
      </w:pPr>
    </w:p>
    <w:p w:rsidR="006D1D05" w:rsidRPr="006D1D05" w:rsidRDefault="006D1D05" w:rsidP="006D1D05">
      <w:pPr>
        <w:ind w:firstLine="851"/>
        <w:rPr>
          <w:b/>
          <w:sz w:val="24"/>
          <w:szCs w:val="24"/>
        </w:rPr>
      </w:pPr>
      <w:bookmarkStart w:id="0" w:name="_GoBack"/>
      <w:bookmarkEnd w:id="0"/>
    </w:p>
    <w:p w:rsidR="006D1D05" w:rsidRDefault="006D1D05" w:rsidP="006D1D05">
      <w:pPr>
        <w:ind w:firstLine="851"/>
        <w:rPr>
          <w:b/>
          <w:sz w:val="24"/>
          <w:szCs w:val="24"/>
        </w:rPr>
      </w:pPr>
      <w:r w:rsidRPr="006D1D05">
        <w:rPr>
          <w:b/>
          <w:sz w:val="24"/>
          <w:szCs w:val="24"/>
        </w:rPr>
        <w:t>Разработчик</w:t>
      </w:r>
    </w:p>
    <w:p w:rsidR="006D1D05" w:rsidRDefault="006D1D05" w:rsidP="006D1D05">
      <w:pPr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Ведущий специалист </w:t>
      </w:r>
    </w:p>
    <w:p w:rsidR="006D1D05" w:rsidRPr="006D1D05" w:rsidRDefault="006D1D05" w:rsidP="006D1D05">
      <w:pPr>
        <w:ind w:firstLine="851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>Департамента анализа и систематизации РГП «</w:t>
      </w:r>
      <w:proofErr w:type="spellStart"/>
      <w:r>
        <w:rPr>
          <w:b/>
          <w:sz w:val="24"/>
          <w:szCs w:val="24"/>
        </w:rPr>
        <w:t>КазСтандарт</w:t>
      </w:r>
      <w:proofErr w:type="spellEnd"/>
      <w:r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lang w:val="kk-KZ"/>
        </w:rPr>
        <w:t>Ә. Қойлыбай</w:t>
      </w:r>
    </w:p>
    <w:sectPr w:rsidR="006D1D05" w:rsidRPr="006D1D05" w:rsidSect="00BD5B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0B1"/>
    <w:rsid w:val="001452B1"/>
    <w:rsid w:val="001A50B1"/>
    <w:rsid w:val="001B10FE"/>
    <w:rsid w:val="00533B35"/>
    <w:rsid w:val="00582F12"/>
    <w:rsid w:val="006C65A6"/>
    <w:rsid w:val="006D1D05"/>
    <w:rsid w:val="00760E99"/>
    <w:rsid w:val="00B04B7B"/>
    <w:rsid w:val="00BD5B9A"/>
    <w:rsid w:val="00CB61B0"/>
    <w:rsid w:val="00DD79EB"/>
    <w:rsid w:val="00ED1F73"/>
    <w:rsid w:val="00F74107"/>
    <w:rsid w:val="00FB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C39AC3"/>
  <w15:docId w15:val="{B3F1C463-AF7F-4F88-AB04-0D9ADCF5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4">
    <w:name w:val="Font Style54"/>
    <w:uiPriority w:val="99"/>
    <w:rsid w:val="00BD5B9A"/>
    <w:rPr>
      <w:rFonts w:ascii="Arial" w:hAnsi="Arial" w:cs="Arial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BD5B9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BD5B9A"/>
    <w:rPr>
      <w:rFonts w:ascii="Arial" w:hAnsi="Arial" w:cs="Arial"/>
      <w:color w:val="000000"/>
      <w:sz w:val="26"/>
      <w:szCs w:val="26"/>
    </w:rPr>
  </w:style>
  <w:style w:type="character" w:customStyle="1" w:styleId="FontStyle58">
    <w:name w:val="Font Style58"/>
    <w:uiPriority w:val="99"/>
    <w:rsid w:val="00BD5B9A"/>
    <w:rPr>
      <w:rFonts w:ascii="Arial" w:hAnsi="Arial" w:cs="Arial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4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Анель Койлыбай</dc:creator>
  <cp:keywords/>
  <dc:description/>
  <cp:lastModifiedBy>user</cp:lastModifiedBy>
  <cp:revision>8</cp:revision>
  <dcterms:created xsi:type="dcterms:W3CDTF">2021-02-03T11:50:00Z</dcterms:created>
  <dcterms:modified xsi:type="dcterms:W3CDTF">2021-03-18T08:35:00Z</dcterms:modified>
</cp:coreProperties>
</file>